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方正小标宋简体" w:hAnsi="方正小标宋简体" w:eastAsia="方正小标宋简体"/>
          <w:sz w:val="44"/>
          <w:szCs w:val="44"/>
        </w:rPr>
      </w:pPr>
      <w:r>
        <w:rPr>
          <w:rFonts w:hint="eastAsia" w:ascii="方正小标宋简体" w:hAnsi="方正小标宋简体" w:eastAsia="方正小标宋简体"/>
          <w:sz w:val="44"/>
          <w:szCs w:val="44"/>
        </w:rPr>
        <w:t>民营企业自主引才用才奖励操作细则</w:t>
      </w:r>
    </w:p>
    <w:p>
      <w:pPr>
        <w:jc w:val="center"/>
        <w:rPr>
          <w:rFonts w:ascii="方正黑体_GBK" w:eastAsia="方正黑体_GBK"/>
          <w:sz w:val="32"/>
          <w:szCs w:val="32"/>
        </w:rPr>
      </w:pPr>
    </w:p>
    <w:p>
      <w:pPr>
        <w:ind w:firstLine="640" w:firstLineChars="200"/>
        <w:rPr>
          <w:rFonts w:hint="eastAsia" w:ascii="黑体" w:hAnsi="黑体" w:eastAsia="黑体" w:cs="黑体"/>
          <w:sz w:val="32"/>
          <w:szCs w:val="32"/>
        </w:rPr>
      </w:pPr>
      <w:r>
        <w:rPr>
          <w:rFonts w:hint="eastAsia" w:ascii="黑体" w:hAnsi="黑体" w:eastAsia="黑体" w:cs="黑体"/>
          <w:sz w:val="32"/>
          <w:szCs w:val="32"/>
        </w:rPr>
        <w:t>一、政策内容</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注重发挥用人单位引才用才主体作用，对民营企业给予新引进人才的计税年薪高于上一年度城镇常住居民人均可支配收入10倍以上的，按实际支付薪酬最高30%的比例，给予每家企业最高30万元补贴；如猎头引进的，按人才中介机构服务费的50%，再给予每家企业最高10万元补贴。民营企业累计引进全球排名前200高校或国内“双一流”建设高校毕业生10人以上的，给予最高10万元奖励；对吸引留住硕士、博士研究生及以上人才成效明显的，给予最高5万元奖励。</w:t>
      </w:r>
    </w:p>
    <w:p>
      <w:pPr>
        <w:ind w:firstLine="640" w:firstLineChars="200"/>
        <w:rPr>
          <w:rFonts w:ascii="方正黑体_GBK" w:hAnsi="Times New Roman" w:eastAsia="方正黑体_GBK" w:cs="Times New Roman"/>
          <w:sz w:val="32"/>
          <w:szCs w:val="32"/>
        </w:rPr>
      </w:pPr>
      <w:r>
        <w:rPr>
          <w:rFonts w:hint="eastAsia" w:ascii="黑体" w:hAnsi="黑体" w:eastAsia="黑体" w:cs="黑体"/>
          <w:sz w:val="32"/>
          <w:szCs w:val="32"/>
        </w:rPr>
        <w:t>二、奖励对象和条件</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工商注册地、生产经营地、税收户管地均在营口，具有独立法人资格，财务管理制度健全，会计信用、纳税信用和银行信用良好的民营企业。</w:t>
      </w:r>
    </w:p>
    <w:p>
      <w:pPr>
        <w:ind w:firstLine="640" w:firstLineChars="200"/>
        <w:rPr>
          <w:rFonts w:hint="eastAsia" w:ascii="黑体" w:hAnsi="黑体" w:eastAsia="黑体" w:cs="黑体"/>
          <w:sz w:val="32"/>
          <w:szCs w:val="32"/>
        </w:rPr>
      </w:pPr>
      <w:r>
        <w:rPr>
          <w:rFonts w:hint="eastAsia" w:ascii="黑体" w:hAnsi="黑体" w:eastAsia="黑体" w:cs="黑体"/>
          <w:sz w:val="32"/>
          <w:szCs w:val="32"/>
        </w:rPr>
        <w:t>三、奖励标准和方式</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上个自然年度内，民营企业给予新引进人才的计税年薪高于城镇常住居民人均可支配收入10倍以上的，按实际支付薪酬最高30%的比例给予企业补贴，每家企业最高享受30万元；如人才通过猎头方式引进，再给予企业所付人才中介机构服务费50%的补贴，每家企业最高享受10万元。</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（二）截至申报年度，累计引进全球排名前200高校或</w:t>
      </w:r>
      <w:bookmarkStart w:id="0" w:name="_Hlk116572442"/>
      <w:r>
        <w:rPr>
          <w:rFonts w:hint="eastAsia" w:ascii="仿宋_GB2312" w:hAnsi="仿宋_GB2312" w:eastAsia="仿宋_GB2312" w:cs="仿宋_GB2312"/>
          <w:sz w:val="32"/>
          <w:szCs w:val="32"/>
        </w:rPr>
        <w:t>国内“双一流”建设高校</w:t>
      </w:r>
      <w:bookmarkEnd w:id="0"/>
      <w:r>
        <w:rPr>
          <w:rFonts w:hint="eastAsia" w:ascii="仿宋_GB2312" w:hAnsi="仿宋_GB2312" w:eastAsia="仿宋_GB2312" w:cs="仿宋_GB2312"/>
          <w:sz w:val="32"/>
          <w:szCs w:val="32"/>
        </w:rPr>
        <w:t>毕业生10人以上的（签订5年以上全职聘用或劳动合同且已执行1年以上），给予5万元奖励；累计引进20人以上的（签订5年以上全职聘用或劳动合同且已执行1年以上），给予10万元奖励。截至下一申报年度，新引进符合条件高校毕业生达到10人或20人以上的，同一企业可再享受5万元或10万元奖励。高校排名情况以</w:t>
      </w:r>
      <w:bookmarkStart w:id="1" w:name="_Hlk116572462"/>
      <w:r>
        <w:rPr>
          <w:rFonts w:hint="eastAsia" w:ascii="仿宋_GB2312" w:hAnsi="仿宋_GB2312" w:eastAsia="仿宋_GB2312" w:cs="仿宋_GB2312"/>
          <w:sz w:val="32"/>
          <w:szCs w:val="32"/>
        </w:rPr>
        <w:t>毕业生取得学位年度</w:t>
      </w:r>
      <w:bookmarkEnd w:id="1"/>
      <w:r>
        <w:rPr>
          <w:rFonts w:hint="eastAsia" w:ascii="仿宋_GB2312" w:hAnsi="仿宋_GB2312" w:eastAsia="仿宋_GB2312" w:cs="仿宋_GB2312"/>
          <w:sz w:val="32"/>
          <w:szCs w:val="32"/>
        </w:rPr>
        <w:t>“TIMES大学排名”“QS大学排名”“USnews大学排名”或“ARWU排名”公布数据为准，符合其中之一即可；“双一流”建设高校以毕业生取得学位年度教育部公布名单为准。</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（三）每个自然年度内，新招用5名及以上硕士或新招用2名及以上博士或新招用硕士、博士总人数达到3名及以上</w:t>
      </w:r>
      <w:bookmarkStart w:id="2" w:name="_Hlk116572923"/>
      <w:r>
        <w:rPr>
          <w:rFonts w:hint="eastAsia" w:ascii="仿宋_GB2312" w:hAnsi="仿宋_GB2312" w:eastAsia="仿宋_GB2312" w:cs="仿宋_GB2312"/>
          <w:sz w:val="32"/>
          <w:szCs w:val="32"/>
        </w:rPr>
        <w:t>（签订5年以上全职聘用或劳动合同且已执行1年以上）</w:t>
      </w:r>
      <w:bookmarkEnd w:id="2"/>
      <w:r>
        <w:rPr>
          <w:rFonts w:hint="eastAsia" w:ascii="仿宋_GB2312" w:hAnsi="仿宋_GB2312" w:eastAsia="仿宋_GB2312" w:cs="仿宋_GB2312"/>
          <w:sz w:val="32"/>
          <w:szCs w:val="32"/>
        </w:rPr>
        <w:t>的民营企业，给予5万元奖励。</w:t>
      </w:r>
    </w:p>
    <w:p>
      <w:pPr>
        <w:ind w:firstLine="640" w:firstLineChars="200"/>
        <w:rPr>
          <w:rFonts w:hint="eastAsia" w:ascii="黑体" w:hAnsi="黑体" w:eastAsia="黑体" w:cs="黑体"/>
          <w:sz w:val="32"/>
          <w:szCs w:val="32"/>
        </w:rPr>
      </w:pPr>
      <w:r>
        <w:rPr>
          <w:rFonts w:hint="eastAsia" w:ascii="仿宋_GB2312" w:hAnsi="仿宋_GB2312" w:eastAsia="仿宋_GB2312" w:cs="仿宋_GB2312"/>
          <w:sz w:val="32"/>
          <w:szCs w:val="32"/>
        </w:rPr>
        <w:t>（四）对全职引进高端人才的用人单位，一事一议给予奖励。</w:t>
      </w:r>
    </w:p>
    <w:p>
      <w:pPr>
        <w:ind w:firstLine="640" w:firstLineChars="200"/>
        <w:rPr>
          <w:rFonts w:hint="eastAsia" w:ascii="黑体" w:hAnsi="黑体" w:eastAsia="黑体" w:cs="黑体"/>
          <w:sz w:val="32"/>
          <w:szCs w:val="32"/>
        </w:rPr>
      </w:pPr>
      <w:r>
        <w:rPr>
          <w:rFonts w:hint="eastAsia" w:ascii="黑体" w:hAnsi="黑体" w:eastAsia="黑体" w:cs="黑体"/>
          <w:sz w:val="32"/>
          <w:szCs w:val="32"/>
        </w:rPr>
        <w:t>四、奖励程序</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（一）申请。符合条件的民营企业填写申报表，正式提出申请。</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（二）审核。市人力资源和社会保障局会同有关部门对申报材料进行集中审核。</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（三）公示。对拟奖励单位面向社会进行不少于5个工作日的公示。</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（四）奖励拨付。市人力资源和社会保障局将审核和公示结果报市委人才工作领导小组办公室，通过后由市财政局统一拨付奖励资金。</w:t>
      </w:r>
    </w:p>
    <w:p>
      <w:pPr>
        <w:ind w:firstLine="640" w:firstLineChars="200"/>
        <w:rPr>
          <w:rFonts w:ascii="方正黑体_GBK" w:hAnsi="Times New Roman" w:eastAsia="方正黑体_GBK" w:cs="Times New Roman"/>
          <w:sz w:val="32"/>
          <w:szCs w:val="32"/>
        </w:rPr>
      </w:pPr>
      <w:r>
        <w:rPr>
          <w:rFonts w:hint="eastAsia" w:ascii="黑体" w:hAnsi="黑体" w:eastAsia="黑体" w:cs="黑体"/>
          <w:sz w:val="32"/>
          <w:szCs w:val="32"/>
        </w:rPr>
        <w:t>五、管理评估</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对故意编造虚假信息、伪造申报材料、隐瞒违规行为骗取奖励资金的单位和个人，除追缴奖励资金外，通报有关部门纳入诚信黑名单，取消今后人才计划、科研项目申报资格，按照有关规定追究相应责任。涉嫌犯罪的，依法移送司法机关处理。</w:t>
      </w:r>
    </w:p>
    <w:p>
      <w:pPr>
        <w:ind w:firstLine="640" w:firstLineChars="200"/>
        <w:rPr>
          <w:rFonts w:hint="eastAsia" w:ascii="黑体" w:hAnsi="黑体" w:eastAsia="黑体" w:cs="黑体"/>
          <w:sz w:val="32"/>
          <w:szCs w:val="32"/>
        </w:rPr>
      </w:pPr>
      <w:r>
        <w:rPr>
          <w:rFonts w:hint="eastAsia" w:ascii="黑体" w:hAnsi="黑体" w:eastAsia="黑体" w:cs="黑体"/>
          <w:sz w:val="32"/>
          <w:szCs w:val="32"/>
        </w:rPr>
        <w:t>六、申报时间</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原则上每年申报一次，集中受理。吸引留住硕士、博士研究生及以上人才成效明显的民营企业，因合同执行期不满1年未达到奖励标准的，可延后至下一年度集中申报。</w:t>
      </w:r>
    </w:p>
    <w:p>
      <w:pPr>
        <w:ind w:firstLine="640" w:firstLineChars="200"/>
        <w:rPr>
          <w:rFonts w:hint="eastAsia" w:ascii="黑体" w:hAnsi="黑体" w:eastAsia="黑体" w:cs="黑体"/>
          <w:sz w:val="32"/>
          <w:szCs w:val="32"/>
        </w:rPr>
      </w:pPr>
      <w:r>
        <w:rPr>
          <w:rFonts w:hint="eastAsia" w:ascii="黑体" w:hAnsi="黑体" w:eastAsia="黑体" w:cs="黑体"/>
          <w:sz w:val="32"/>
          <w:szCs w:val="32"/>
        </w:rPr>
        <w:t>七、申报材料</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（一）奖励申报表。</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（二）其他相关材料：</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 企业《营业执照》复印件；</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 聘用合同（劳动合同）复印件；</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 企业支付员工薪酬原始凭证；</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 通过猎头方式引才的，需提供中介机构人力资源服务许可证复印件，与用人单位签订的协助引进人才协议及服务费凭证。</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5. 高端人才认定相关证明材料。</w:t>
      </w:r>
    </w:p>
    <w:p>
      <w:pPr>
        <w:ind w:firstLine="640" w:firstLineChars="200"/>
        <w:rPr>
          <w:rFonts w:ascii="方正黑体_GBK" w:hAnsi="Times New Roman" w:eastAsia="方正黑体_GBK" w:cs="Times New Roman"/>
          <w:sz w:val="32"/>
          <w:szCs w:val="32"/>
        </w:rPr>
      </w:pPr>
      <w:r>
        <w:rPr>
          <w:rFonts w:hint="eastAsia" w:ascii="黑体" w:hAnsi="黑体" w:eastAsia="黑体" w:cs="黑体"/>
          <w:sz w:val="32"/>
          <w:szCs w:val="32"/>
        </w:rPr>
        <w:t>八、受理部门</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市人力资源和社会保障局人力资源供给侧结构性改革科，电话：0417-2980126。</w:t>
      </w:r>
    </w:p>
    <w:p>
      <w:pPr>
        <w:ind w:firstLine="640" w:firstLineChars="200"/>
        <w:rPr>
          <w:rFonts w:hint="eastAsia" w:ascii="黑体" w:hAnsi="黑体" w:eastAsia="黑体" w:cs="黑体"/>
          <w:sz w:val="32"/>
          <w:szCs w:val="32"/>
        </w:rPr>
      </w:pPr>
      <w:r>
        <w:rPr>
          <w:rFonts w:hint="eastAsia" w:ascii="黑体" w:hAnsi="黑体" w:eastAsia="黑体" w:cs="黑体"/>
          <w:sz w:val="32"/>
          <w:szCs w:val="32"/>
        </w:rPr>
        <w:t>九、政策解释</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上述政策由市人力资源和社会保障局会同市直有关部门负责解释，并按照规定根据实际需要适时进行调整。</w:t>
      </w:r>
    </w:p>
    <w:p>
      <w:pPr>
        <w:ind w:firstLine="640" w:firstLineChars="200"/>
        <w:rPr>
          <w:rFonts w:hint="eastAsia" w:ascii="仿宋_GB2312" w:hAnsi="仿宋_GB2312" w:eastAsia="仿宋_GB2312" w:cs="仿宋_GB2312"/>
          <w:sz w:val="32"/>
          <w:szCs w:val="32"/>
        </w:rPr>
      </w:pP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附件：高端人才目录</w:t>
      </w:r>
    </w:p>
    <w:p>
      <w:pPr>
        <w:ind w:firstLine="640" w:firstLineChars="200"/>
        <w:rPr>
          <w:rFonts w:ascii="Times New Roman" w:hAnsi="Times New Roman" w:eastAsia="方正仿宋_GBK" w:cs="Times New Roman"/>
          <w:sz w:val="32"/>
          <w:szCs w:val="32"/>
        </w:rPr>
      </w:pPr>
    </w:p>
    <w:p>
      <w:pPr>
        <w:ind w:firstLine="640" w:firstLineChars="200"/>
        <w:rPr>
          <w:rFonts w:ascii="Times New Roman" w:hAnsi="Times New Roman" w:eastAsia="方正仿宋_GBK" w:cs="Times New Roman"/>
          <w:sz w:val="32"/>
          <w:szCs w:val="32"/>
        </w:rPr>
      </w:pPr>
    </w:p>
    <w:p>
      <w:pPr>
        <w:ind w:firstLine="640" w:firstLineChars="200"/>
        <w:rPr>
          <w:rFonts w:ascii="Times New Roman" w:hAnsi="Times New Roman" w:eastAsia="方正仿宋_GBK" w:cs="Times New Roman"/>
          <w:sz w:val="32"/>
          <w:szCs w:val="32"/>
        </w:rPr>
      </w:pPr>
    </w:p>
    <w:p>
      <w:pPr>
        <w:ind w:firstLine="640" w:firstLineChars="200"/>
        <w:rPr>
          <w:rFonts w:ascii="Times New Roman" w:hAnsi="Times New Roman" w:eastAsia="方正仿宋_GBK" w:cs="Times New Roman"/>
          <w:sz w:val="32"/>
          <w:szCs w:val="32"/>
        </w:rPr>
      </w:pPr>
    </w:p>
    <w:p>
      <w:pPr>
        <w:ind w:firstLine="640" w:firstLineChars="200"/>
        <w:rPr>
          <w:rFonts w:ascii="Times New Roman" w:hAnsi="Times New Roman" w:eastAsia="方正仿宋_GBK" w:cs="Times New Roman"/>
          <w:sz w:val="32"/>
          <w:szCs w:val="32"/>
        </w:rPr>
      </w:pPr>
    </w:p>
    <w:p>
      <w:pPr>
        <w:rPr>
          <w:rFonts w:ascii="方正黑体_GBK" w:hAnsi="Times New Roman" w:eastAsia="方正黑体_GBK" w:cs="Times New Roman"/>
          <w:sz w:val="32"/>
          <w:szCs w:val="32"/>
        </w:rPr>
      </w:pPr>
    </w:p>
    <w:p>
      <w:pPr>
        <w:rPr>
          <w:rFonts w:ascii="方正黑体_GBK" w:hAnsi="Times New Roman" w:eastAsia="方正黑体_GBK" w:cs="Times New Roman"/>
          <w:sz w:val="32"/>
          <w:szCs w:val="32"/>
        </w:rPr>
      </w:pPr>
    </w:p>
    <w:p>
      <w:pPr>
        <w:rPr>
          <w:rFonts w:ascii="方正黑体_GBK" w:hAnsi="Times New Roman" w:eastAsia="方正黑体_GBK" w:cs="Times New Roman"/>
          <w:sz w:val="32"/>
          <w:szCs w:val="32"/>
        </w:rPr>
      </w:pPr>
    </w:p>
    <w:p>
      <w:pPr>
        <w:rPr>
          <w:rFonts w:ascii="方正黑体_GBK" w:hAnsi="Times New Roman" w:eastAsia="方正黑体_GBK" w:cs="Times New Roman"/>
          <w:sz w:val="32"/>
          <w:szCs w:val="32"/>
        </w:rPr>
      </w:pPr>
    </w:p>
    <w:p>
      <w:pPr>
        <w:rPr>
          <w:rFonts w:ascii="方正黑体_GBK" w:hAnsi="Times New Roman" w:eastAsia="方正黑体_GBK" w:cs="Times New Roman"/>
          <w:sz w:val="32"/>
          <w:szCs w:val="32"/>
        </w:rPr>
      </w:pPr>
    </w:p>
    <w:p>
      <w:pPr>
        <w:rPr>
          <w:rFonts w:ascii="方正黑体_GBK" w:hAnsi="Times New Roman" w:eastAsia="方正黑体_GBK" w:cs="Times New Roman"/>
          <w:sz w:val="32"/>
          <w:szCs w:val="32"/>
        </w:rPr>
      </w:pPr>
      <w:bookmarkStart w:id="3" w:name="_GoBack"/>
      <w:bookmarkEnd w:id="3"/>
    </w:p>
    <w:p>
      <w:pPr>
        <w:rPr>
          <w:rFonts w:hint="eastAsia" w:ascii="黑体" w:hAnsi="黑体" w:eastAsia="黑体" w:cs="黑体"/>
          <w:sz w:val="32"/>
          <w:szCs w:val="32"/>
        </w:rPr>
      </w:pPr>
      <w:r>
        <w:rPr>
          <w:rFonts w:hint="eastAsia" w:ascii="黑体" w:hAnsi="黑体" w:eastAsia="黑体" w:cs="黑体"/>
          <w:sz w:val="32"/>
          <w:szCs w:val="32"/>
        </w:rPr>
        <w:t>附  件</w:t>
      </w:r>
    </w:p>
    <w:p>
      <w:pPr>
        <w:ind w:firstLine="640" w:firstLineChars="200"/>
        <w:rPr>
          <w:rFonts w:ascii="Times New Roman" w:hAnsi="Times New Roman" w:eastAsia="方正仿宋_GBK" w:cs="Times New Roman"/>
          <w:sz w:val="32"/>
          <w:szCs w:val="32"/>
        </w:rPr>
      </w:pPr>
    </w:p>
    <w:p>
      <w:pPr>
        <w:jc w:val="center"/>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sz w:val="44"/>
          <w:szCs w:val="44"/>
        </w:rPr>
        <w:t>高端人才目录</w:t>
      </w:r>
    </w:p>
    <w:p>
      <w:pPr>
        <w:ind w:firstLine="640" w:firstLineChars="200"/>
        <w:rPr>
          <w:rFonts w:ascii="Times New Roman" w:hAnsi="Times New Roman" w:eastAsia="方正仿宋_GBK" w:cs="Times New Roman"/>
          <w:sz w:val="32"/>
          <w:szCs w:val="32"/>
        </w:rPr>
      </w:pP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 诺贝尔奖获得者；</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 中国科学院院士、中国工程院院士；</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 国家最高科学技术奖获得者；</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 中国科学院杰出科技成就奖获得者；</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5. 中国社会科学院学部委员、荣誉学部委员；</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6. “百千万人才工程”国家级人选；</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7. 国家科技进步奖、自然科学奖、技术发明奖一等奖（特等奖）前3名或二等奖第1名；</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8. 全国宣传文化系统“四个一批”人才；</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9. 国家外国专家局“首席外国专家项目”人选；</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10. 辽宁省“兴辽英才计划”杰出人才；</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11. 其他经认定达到高端人才标准的人才。</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等线">
    <w:altName w:val="汉仪中宋简"/>
    <w:panose1 w:val="02010600030101010101"/>
    <w:charset w:val="86"/>
    <w:family w:val="auto"/>
    <w:pitch w:val="default"/>
    <w:sig w:usb0="00000000" w:usb1="00000000" w:usb2="00000016" w:usb3="00000000" w:csb0="0004000F" w:csb1="00000000"/>
  </w:font>
  <w:font w:name="等线">
    <w:altName w:val="仿宋"/>
    <w:panose1 w:val="00000000000000000000"/>
    <w:charset w:val="86"/>
    <w:family w:val="auto"/>
    <w:pitch w:val="default"/>
    <w:sig w:usb0="00000000" w:usb1="00000000" w:usb2="00000000" w:usb3="00000000" w:csb0="00000000" w:csb1="00000000"/>
  </w:font>
  <w:font w:name="等线">
    <w:altName w:val="仿宋"/>
    <w:panose1 w:val="00000000000000000000"/>
    <w:charset w:val="00"/>
    <w:family w:val="auto"/>
    <w:pitch w:val="default"/>
    <w:sig w:usb0="00000000" w:usb1="00000000" w:usb2="00000000" w:usb3="00000000" w:csb0="00000000" w:csb1="00000000"/>
  </w:font>
  <w:font w:name="方正小标宋简体">
    <w:panose1 w:val="02000000000000000000"/>
    <w:charset w:val="86"/>
    <w:family w:val="auto"/>
    <w:pitch w:val="default"/>
    <w:sig w:usb0="A00002BF" w:usb1="184F6CFA" w:usb2="00000012" w:usb3="00000000" w:csb0="00040001" w:csb1="00000000"/>
  </w:font>
  <w:font w:name="方正黑体_GBK">
    <w:panose1 w:val="02000000000000000000"/>
    <w:charset w:val="86"/>
    <w:family w:val="auto"/>
    <w:pitch w:val="default"/>
    <w:sig w:usb0="00000001" w:usb1="0800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方正仿宋_GBK">
    <w:panose1 w:val="02000000000000000000"/>
    <w:charset w:val="86"/>
    <w:family w:val="auto"/>
    <w:pitch w:val="default"/>
    <w:sig w:usb0="00000001" w:usb1="08000000" w:usb2="00000000" w:usb3="00000000" w:csb0="00040000" w:csb1="00000000"/>
  </w:font>
  <w:font w:name="仿宋">
    <w:panose1 w:val="02010609060101010101"/>
    <w:charset w:val="86"/>
    <w:family w:val="auto"/>
    <w:pitch w:val="default"/>
    <w:sig w:usb0="800002BF" w:usb1="38CF7CFA" w:usb2="00000016" w:usb3="00000000" w:csb0="00040001" w:csb1="00000000"/>
  </w:font>
  <w:font w:name="Nimbus Roman No9 L">
    <w:panose1 w:val="00000000000000000000"/>
    <w:charset w:val="00"/>
    <w:family w:val="auto"/>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true"/>
  <w:bordersDoNotSurroundFooter w:val="true"/>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TI1MDdhMTg3YzIyOWM3ZTIyNTJlNmZmYzBhYmUzYzAifQ=="/>
  </w:docVars>
  <w:rsids>
    <w:rsidRoot w:val="00DF00D8"/>
    <w:rsid w:val="0000349A"/>
    <w:rsid w:val="00053F29"/>
    <w:rsid w:val="00067772"/>
    <w:rsid w:val="00067BDC"/>
    <w:rsid w:val="0007215E"/>
    <w:rsid w:val="00091BF7"/>
    <w:rsid w:val="000F6D9A"/>
    <w:rsid w:val="001336AE"/>
    <w:rsid w:val="00135D47"/>
    <w:rsid w:val="00150C73"/>
    <w:rsid w:val="001521A1"/>
    <w:rsid w:val="00191DBC"/>
    <w:rsid w:val="00216B9E"/>
    <w:rsid w:val="002253B1"/>
    <w:rsid w:val="00243ADB"/>
    <w:rsid w:val="002549DF"/>
    <w:rsid w:val="00255704"/>
    <w:rsid w:val="00282D42"/>
    <w:rsid w:val="002B1283"/>
    <w:rsid w:val="002C5F43"/>
    <w:rsid w:val="0034514E"/>
    <w:rsid w:val="003658B8"/>
    <w:rsid w:val="003C64D7"/>
    <w:rsid w:val="003D43B8"/>
    <w:rsid w:val="003E1F21"/>
    <w:rsid w:val="003F2FF7"/>
    <w:rsid w:val="003F381F"/>
    <w:rsid w:val="00404D06"/>
    <w:rsid w:val="00416217"/>
    <w:rsid w:val="00430531"/>
    <w:rsid w:val="00433C22"/>
    <w:rsid w:val="00435805"/>
    <w:rsid w:val="004512D0"/>
    <w:rsid w:val="00493235"/>
    <w:rsid w:val="004B3AFD"/>
    <w:rsid w:val="004C10F5"/>
    <w:rsid w:val="004C4674"/>
    <w:rsid w:val="004D074E"/>
    <w:rsid w:val="004D0830"/>
    <w:rsid w:val="004D434A"/>
    <w:rsid w:val="004E193B"/>
    <w:rsid w:val="00507971"/>
    <w:rsid w:val="00524F30"/>
    <w:rsid w:val="005469F7"/>
    <w:rsid w:val="00554C73"/>
    <w:rsid w:val="0055604D"/>
    <w:rsid w:val="00585514"/>
    <w:rsid w:val="005867C2"/>
    <w:rsid w:val="00594549"/>
    <w:rsid w:val="005B4254"/>
    <w:rsid w:val="005C0938"/>
    <w:rsid w:val="005C16BC"/>
    <w:rsid w:val="005E052E"/>
    <w:rsid w:val="005E11FE"/>
    <w:rsid w:val="005E25CA"/>
    <w:rsid w:val="005F1B70"/>
    <w:rsid w:val="0063104F"/>
    <w:rsid w:val="006374FC"/>
    <w:rsid w:val="0066048C"/>
    <w:rsid w:val="00673823"/>
    <w:rsid w:val="00697A0A"/>
    <w:rsid w:val="006C3E9D"/>
    <w:rsid w:val="006C56E5"/>
    <w:rsid w:val="006D0F66"/>
    <w:rsid w:val="006D4684"/>
    <w:rsid w:val="006E117F"/>
    <w:rsid w:val="006E14D2"/>
    <w:rsid w:val="006E3E18"/>
    <w:rsid w:val="006F2767"/>
    <w:rsid w:val="00705B6D"/>
    <w:rsid w:val="0070744E"/>
    <w:rsid w:val="00731A56"/>
    <w:rsid w:val="00752AD2"/>
    <w:rsid w:val="007550A7"/>
    <w:rsid w:val="0078437E"/>
    <w:rsid w:val="007943E5"/>
    <w:rsid w:val="007A5169"/>
    <w:rsid w:val="007E3172"/>
    <w:rsid w:val="007E52B0"/>
    <w:rsid w:val="007F491C"/>
    <w:rsid w:val="007F7295"/>
    <w:rsid w:val="0082456D"/>
    <w:rsid w:val="008548C8"/>
    <w:rsid w:val="00864ABE"/>
    <w:rsid w:val="008A4DC7"/>
    <w:rsid w:val="008B7781"/>
    <w:rsid w:val="009273B5"/>
    <w:rsid w:val="00942D5B"/>
    <w:rsid w:val="00977390"/>
    <w:rsid w:val="009830BF"/>
    <w:rsid w:val="00991AB6"/>
    <w:rsid w:val="009C23F0"/>
    <w:rsid w:val="009C3209"/>
    <w:rsid w:val="009C7835"/>
    <w:rsid w:val="009E2CCA"/>
    <w:rsid w:val="009E53E2"/>
    <w:rsid w:val="009E56BE"/>
    <w:rsid w:val="009F0B70"/>
    <w:rsid w:val="00A070F6"/>
    <w:rsid w:val="00A11AF7"/>
    <w:rsid w:val="00A42FE4"/>
    <w:rsid w:val="00A44F1E"/>
    <w:rsid w:val="00A83F1D"/>
    <w:rsid w:val="00A9222F"/>
    <w:rsid w:val="00AB5FC7"/>
    <w:rsid w:val="00AC639A"/>
    <w:rsid w:val="00B00B14"/>
    <w:rsid w:val="00B1118C"/>
    <w:rsid w:val="00B15123"/>
    <w:rsid w:val="00B323C9"/>
    <w:rsid w:val="00B3487E"/>
    <w:rsid w:val="00B82469"/>
    <w:rsid w:val="00B86813"/>
    <w:rsid w:val="00B9342D"/>
    <w:rsid w:val="00BA74D4"/>
    <w:rsid w:val="00BB2986"/>
    <w:rsid w:val="00BE318A"/>
    <w:rsid w:val="00C17B24"/>
    <w:rsid w:val="00C4694F"/>
    <w:rsid w:val="00CA5AD1"/>
    <w:rsid w:val="00CB0062"/>
    <w:rsid w:val="00D00804"/>
    <w:rsid w:val="00D1589D"/>
    <w:rsid w:val="00D338C8"/>
    <w:rsid w:val="00D44D1C"/>
    <w:rsid w:val="00D95889"/>
    <w:rsid w:val="00DA77BE"/>
    <w:rsid w:val="00DF00D8"/>
    <w:rsid w:val="00DF54C7"/>
    <w:rsid w:val="00E0372F"/>
    <w:rsid w:val="00E0413A"/>
    <w:rsid w:val="00E14BD9"/>
    <w:rsid w:val="00E309D0"/>
    <w:rsid w:val="00E41A2A"/>
    <w:rsid w:val="00E56457"/>
    <w:rsid w:val="00E64AD4"/>
    <w:rsid w:val="00E65B23"/>
    <w:rsid w:val="00EA1DE2"/>
    <w:rsid w:val="00EC6564"/>
    <w:rsid w:val="00EE7107"/>
    <w:rsid w:val="00EF2AC6"/>
    <w:rsid w:val="00F104F3"/>
    <w:rsid w:val="00F20C43"/>
    <w:rsid w:val="00F719A3"/>
    <w:rsid w:val="00F90007"/>
    <w:rsid w:val="00FD43C9"/>
    <w:rsid w:val="00FE74AE"/>
    <w:rsid w:val="00FF62BF"/>
    <w:rsid w:val="00FF79B1"/>
    <w:rsid w:val="0D101F1F"/>
    <w:rsid w:val="139C7203"/>
    <w:rsid w:val="77DB66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字符"/>
    <w:basedOn w:val="5"/>
    <w:link w:val="3"/>
    <w:qFormat/>
    <w:uiPriority w:val="99"/>
    <w:rPr>
      <w:sz w:val="18"/>
      <w:szCs w:val="18"/>
    </w:rPr>
  </w:style>
  <w:style w:type="character" w:customStyle="1" w:styleId="7">
    <w:name w:val="页脚 字符"/>
    <w:basedOn w:val="5"/>
    <w:link w:val="2"/>
    <w:qFormat/>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1602</Words>
  <Characters>1670</Characters>
  <Lines>12</Lines>
  <Paragraphs>3</Paragraphs>
  <TotalTime>341</TotalTime>
  <ScaleCrop>false</ScaleCrop>
  <LinksUpToDate>false</LinksUpToDate>
  <CharactersWithSpaces>1688</CharactersWithSpaces>
  <Application>WPS Office_11.8.2.10422_F1E327BC-269C-435d-A152-05C5408002CA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2022-10-13T14:58:00Z</dcterms:created>
  <dc:creator>gao yixuan</dc:creator>
  <cp:lastModifiedBy>greatwall</cp:lastModifiedBy>
  <cp:lastPrinted>2025-12-09T13:37:25Z</cp:lastPrinted>
  <dcterms:modified xsi:type="dcterms:W3CDTF">2025-12-09T13:38:09Z</dcterms:modified>
  <cp:revision>97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2052-11.8.2.10422</vt:lpwstr>
  </property>
  <property fmtid="{D5CDD505-2E9C-101B-9397-08002B2CF9AE}" pid="3" name="ICV">
    <vt:lpwstr>A7D0941A8FCB4B03B226096FCDFB461E</vt:lpwstr>
  </property>
</Properties>
</file>